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61" w:rsidRPr="00420BE9" w:rsidRDefault="000000E7" w:rsidP="000000E7">
      <w:r w:rsidRPr="00420BE9">
        <w:t>KLASA: 400-01/19-01/2</w:t>
      </w:r>
    </w:p>
    <w:p w:rsidR="000000E7" w:rsidRPr="00420BE9" w:rsidRDefault="000000E7" w:rsidP="000000E7">
      <w:r w:rsidRPr="00420BE9">
        <w:t>URBROJ: 2158-36-01-19-4</w:t>
      </w:r>
    </w:p>
    <w:p w:rsidR="000000E7" w:rsidRPr="00420BE9" w:rsidRDefault="000000E7" w:rsidP="000000E7">
      <w:r w:rsidRPr="00420BE9">
        <w:t>Tenja, 28. listopada 2019.</w:t>
      </w:r>
    </w:p>
    <w:p w:rsidR="000000E7" w:rsidRPr="00420BE9" w:rsidRDefault="000000E7" w:rsidP="000000E7"/>
    <w:p w:rsidR="000000E7" w:rsidRPr="00420BE9" w:rsidRDefault="000000E7" w:rsidP="000000E7">
      <w:r w:rsidRPr="00420BE9">
        <w:t xml:space="preserve">Na temelju članka 34. Zakona o fiskalnoj odgovornosti (Narodne novine, br. 111/18) i članka 7. Uredbe o sastavljanju i predaji Izjave o fiskalnoj odgovornosti (Narodne novine, broj 95/19) ravnateljica Draženka </w:t>
      </w:r>
      <w:proofErr w:type="spellStart"/>
      <w:r w:rsidRPr="00420BE9">
        <w:t>Šebek</w:t>
      </w:r>
      <w:proofErr w:type="spellEnd"/>
      <w:r w:rsidRPr="00420BE9">
        <w:t xml:space="preserve"> Osnovne škole Tenja donosi: </w:t>
      </w:r>
    </w:p>
    <w:p w:rsidR="000000E7" w:rsidRPr="00420BE9" w:rsidRDefault="000000E7" w:rsidP="000000E7"/>
    <w:p w:rsidR="000000E7" w:rsidRPr="00420BE9" w:rsidRDefault="000000E7" w:rsidP="000000E7">
      <w:r w:rsidRPr="00420BE9">
        <w:t xml:space="preserve">PROCEDURU ZAPRIMANJA I PROVJERE RAČUNA TE PLAĆANJA PO RAČUNIMA </w:t>
      </w:r>
    </w:p>
    <w:p w:rsidR="000000E7" w:rsidRPr="00420BE9" w:rsidRDefault="000000E7" w:rsidP="000000E7"/>
    <w:p w:rsidR="000000E7" w:rsidRPr="00420BE9" w:rsidRDefault="000000E7" w:rsidP="000000E7">
      <w:r w:rsidRPr="00420BE9">
        <w:t>Postupak zaprimanja i provjere računa, te plaćanja po računima u ustanovi, provodi se po sljedećoj proceduri:</w:t>
      </w:r>
    </w:p>
    <w:p w:rsidR="005E60A7" w:rsidRPr="00420BE9" w:rsidRDefault="005E60A7" w:rsidP="000000E7"/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1841"/>
        <w:gridCol w:w="2154"/>
        <w:gridCol w:w="2257"/>
        <w:gridCol w:w="36"/>
        <w:gridCol w:w="1769"/>
        <w:gridCol w:w="1036"/>
      </w:tblGrid>
      <w:tr w:rsidR="00886251" w:rsidRPr="00420BE9" w:rsidTr="00420BE9">
        <w:trPr>
          <w:trHeight w:val="29"/>
        </w:trPr>
        <w:tc>
          <w:tcPr>
            <w:tcW w:w="1841" w:type="dxa"/>
            <w:vMerge w:val="restart"/>
          </w:tcPr>
          <w:p w:rsidR="00886251" w:rsidRPr="00420BE9" w:rsidRDefault="00886251" w:rsidP="000000E7">
            <w:r w:rsidRPr="00420BE9">
              <w:t>DIJAGRAM TIJEKA</w:t>
            </w:r>
          </w:p>
        </w:tc>
        <w:tc>
          <w:tcPr>
            <w:tcW w:w="2154" w:type="dxa"/>
            <w:vMerge w:val="restart"/>
          </w:tcPr>
          <w:p w:rsidR="00886251" w:rsidRPr="00420BE9" w:rsidRDefault="00886251" w:rsidP="000000E7">
            <w:r w:rsidRPr="00420BE9">
              <w:t>OPIS AKTIVNOSTI</w:t>
            </w:r>
          </w:p>
        </w:tc>
        <w:tc>
          <w:tcPr>
            <w:tcW w:w="4062" w:type="dxa"/>
            <w:gridSpan w:val="3"/>
          </w:tcPr>
          <w:p w:rsidR="00886251" w:rsidRPr="00420BE9" w:rsidRDefault="00886251" w:rsidP="00FE1CB3">
            <w:pPr>
              <w:jc w:val="center"/>
            </w:pPr>
            <w:r w:rsidRPr="00420BE9">
              <w:t>IZVRŠENJE</w:t>
            </w:r>
          </w:p>
        </w:tc>
        <w:tc>
          <w:tcPr>
            <w:tcW w:w="1036" w:type="dxa"/>
            <w:vMerge w:val="restart"/>
          </w:tcPr>
          <w:p w:rsidR="00886251" w:rsidRPr="00420BE9" w:rsidRDefault="00886251" w:rsidP="000000E7"/>
        </w:tc>
      </w:tr>
      <w:tr w:rsidR="00886251" w:rsidRPr="00420BE9" w:rsidTr="00420BE9">
        <w:trPr>
          <w:trHeight w:val="37"/>
        </w:trPr>
        <w:tc>
          <w:tcPr>
            <w:tcW w:w="1841" w:type="dxa"/>
            <w:vMerge/>
          </w:tcPr>
          <w:p w:rsidR="00886251" w:rsidRPr="00420BE9" w:rsidRDefault="00886251" w:rsidP="000000E7"/>
        </w:tc>
        <w:tc>
          <w:tcPr>
            <w:tcW w:w="2154" w:type="dxa"/>
            <w:vMerge/>
          </w:tcPr>
          <w:p w:rsidR="00886251" w:rsidRPr="00420BE9" w:rsidRDefault="00886251" w:rsidP="000000E7"/>
        </w:tc>
        <w:tc>
          <w:tcPr>
            <w:tcW w:w="2293" w:type="dxa"/>
            <w:gridSpan w:val="2"/>
          </w:tcPr>
          <w:p w:rsidR="00886251" w:rsidRPr="00420BE9" w:rsidRDefault="00886251" w:rsidP="000000E7">
            <w:r w:rsidRPr="00420BE9">
              <w:t>ODGOVORNOST</w:t>
            </w:r>
          </w:p>
        </w:tc>
        <w:tc>
          <w:tcPr>
            <w:tcW w:w="1769" w:type="dxa"/>
          </w:tcPr>
          <w:p w:rsidR="00886251" w:rsidRPr="00420BE9" w:rsidRDefault="00886251" w:rsidP="000000E7">
            <w:r w:rsidRPr="00420BE9">
              <w:t>ROK</w:t>
            </w:r>
          </w:p>
        </w:tc>
        <w:tc>
          <w:tcPr>
            <w:tcW w:w="1036" w:type="dxa"/>
            <w:vMerge/>
          </w:tcPr>
          <w:p w:rsidR="00886251" w:rsidRPr="00420BE9" w:rsidRDefault="00886251" w:rsidP="000000E7"/>
        </w:tc>
      </w:tr>
      <w:tr w:rsidR="00886251" w:rsidRPr="00420BE9" w:rsidTr="00420BE9">
        <w:trPr>
          <w:trHeight w:val="398"/>
        </w:trPr>
        <w:tc>
          <w:tcPr>
            <w:tcW w:w="1841" w:type="dxa"/>
          </w:tcPr>
          <w:p w:rsidR="00886251" w:rsidRPr="00420BE9" w:rsidRDefault="00886251" w:rsidP="000000E7">
            <w:r w:rsidRPr="00420BE9">
              <w:t>Zaprimanje računa</w:t>
            </w:r>
            <w:r w:rsidR="00FE1CB3" w:rsidRPr="00420BE9">
              <w:t xml:space="preserve"> u elektroničkom obliku</w:t>
            </w:r>
          </w:p>
        </w:tc>
        <w:tc>
          <w:tcPr>
            <w:tcW w:w="2154" w:type="dxa"/>
          </w:tcPr>
          <w:p w:rsidR="00886251" w:rsidRPr="00420BE9" w:rsidRDefault="00FE1CB3" w:rsidP="000000E7">
            <w:r w:rsidRPr="00420BE9">
              <w:t>E-računi se zaprimaju i preuzimaju u tajništvu</w:t>
            </w:r>
          </w:p>
        </w:tc>
        <w:tc>
          <w:tcPr>
            <w:tcW w:w="2293" w:type="dxa"/>
            <w:gridSpan w:val="2"/>
          </w:tcPr>
          <w:p w:rsidR="00886251" w:rsidRPr="00420BE9" w:rsidRDefault="00886251" w:rsidP="000000E7">
            <w:r w:rsidRPr="00420BE9">
              <w:t>tajnik</w:t>
            </w:r>
          </w:p>
        </w:tc>
        <w:tc>
          <w:tcPr>
            <w:tcW w:w="1769" w:type="dxa"/>
          </w:tcPr>
          <w:p w:rsidR="00886251" w:rsidRPr="00420BE9" w:rsidRDefault="00FE1CB3" w:rsidP="000000E7">
            <w:r w:rsidRPr="00420BE9">
              <w:t>Najviše 2 radna dana od maila da je stigao e-račun</w:t>
            </w:r>
          </w:p>
        </w:tc>
        <w:tc>
          <w:tcPr>
            <w:tcW w:w="1036" w:type="dxa"/>
          </w:tcPr>
          <w:p w:rsidR="00886251" w:rsidRPr="00420BE9" w:rsidRDefault="00886251" w:rsidP="000000E7"/>
        </w:tc>
      </w:tr>
      <w:tr w:rsidR="00886251" w:rsidRPr="00420BE9" w:rsidTr="00420BE9">
        <w:trPr>
          <w:trHeight w:val="267"/>
        </w:trPr>
        <w:tc>
          <w:tcPr>
            <w:tcW w:w="1841" w:type="dxa"/>
          </w:tcPr>
          <w:p w:rsidR="00886251" w:rsidRPr="00420BE9" w:rsidRDefault="00FE1CB3" w:rsidP="000000E7">
            <w:r w:rsidRPr="00420BE9">
              <w:t>Pretvaranje e-računa u papirnati oblik</w:t>
            </w:r>
          </w:p>
        </w:tc>
        <w:tc>
          <w:tcPr>
            <w:tcW w:w="2154" w:type="dxa"/>
          </w:tcPr>
          <w:p w:rsidR="00886251" w:rsidRPr="00420BE9" w:rsidRDefault="00FE1CB3" w:rsidP="000000E7">
            <w:r w:rsidRPr="00420BE9">
              <w:t>E-računi se štampaju na papir u PDF formi, stavlja se prijamni štambilj i upisuje datum zaprimanja</w:t>
            </w:r>
          </w:p>
        </w:tc>
        <w:tc>
          <w:tcPr>
            <w:tcW w:w="2293" w:type="dxa"/>
            <w:gridSpan w:val="2"/>
          </w:tcPr>
          <w:p w:rsidR="00886251" w:rsidRPr="00420BE9" w:rsidRDefault="00886251" w:rsidP="000000E7">
            <w:r w:rsidRPr="00420BE9">
              <w:t>tajnik</w:t>
            </w:r>
          </w:p>
        </w:tc>
        <w:tc>
          <w:tcPr>
            <w:tcW w:w="1769" w:type="dxa"/>
          </w:tcPr>
          <w:p w:rsidR="00886251" w:rsidRPr="00420BE9" w:rsidRDefault="00FE1CB3" w:rsidP="000000E7">
            <w:r w:rsidRPr="00420BE9">
              <w:t>Istoga dana kao i zaprimanje računa</w:t>
            </w:r>
          </w:p>
        </w:tc>
        <w:tc>
          <w:tcPr>
            <w:tcW w:w="1036" w:type="dxa"/>
          </w:tcPr>
          <w:p w:rsidR="00886251" w:rsidRPr="00420BE9" w:rsidRDefault="00886251" w:rsidP="000000E7"/>
        </w:tc>
      </w:tr>
      <w:tr w:rsidR="00886251" w:rsidRPr="00420BE9" w:rsidTr="00420BE9">
        <w:trPr>
          <w:trHeight w:val="264"/>
        </w:trPr>
        <w:tc>
          <w:tcPr>
            <w:tcW w:w="1841" w:type="dxa"/>
          </w:tcPr>
          <w:p w:rsidR="00886251" w:rsidRPr="00420BE9" w:rsidRDefault="00FE1CB3" w:rsidP="000000E7">
            <w:r w:rsidRPr="00420BE9">
              <w:t>Zaprimanje računa u papirnatom obliku</w:t>
            </w:r>
          </w:p>
        </w:tc>
        <w:tc>
          <w:tcPr>
            <w:tcW w:w="2154" w:type="dxa"/>
          </w:tcPr>
          <w:p w:rsidR="00886251" w:rsidRPr="00420BE9" w:rsidRDefault="00FE1CB3" w:rsidP="000000E7">
            <w:r w:rsidRPr="00420BE9">
              <w:t xml:space="preserve">Računi se zaprimaju </w:t>
            </w:r>
            <w:r w:rsidR="001B0C8B" w:rsidRPr="00420BE9">
              <w:t>u tajništvu, stavlja se prijamni štambilj i upisuje datum zaprimanja</w:t>
            </w:r>
          </w:p>
        </w:tc>
        <w:tc>
          <w:tcPr>
            <w:tcW w:w="2293" w:type="dxa"/>
            <w:gridSpan w:val="2"/>
          </w:tcPr>
          <w:p w:rsidR="00886251" w:rsidRPr="00420BE9" w:rsidRDefault="001B0C8B" w:rsidP="000000E7">
            <w:r w:rsidRPr="00420BE9">
              <w:t>tajnik</w:t>
            </w:r>
          </w:p>
        </w:tc>
        <w:tc>
          <w:tcPr>
            <w:tcW w:w="1769" w:type="dxa"/>
          </w:tcPr>
          <w:p w:rsidR="00886251" w:rsidRPr="00420BE9" w:rsidRDefault="001B0C8B" w:rsidP="000000E7">
            <w:r w:rsidRPr="00420BE9">
              <w:t>Istoga dana</w:t>
            </w:r>
          </w:p>
        </w:tc>
        <w:tc>
          <w:tcPr>
            <w:tcW w:w="1036" w:type="dxa"/>
          </w:tcPr>
          <w:p w:rsidR="00886251" w:rsidRPr="00420BE9" w:rsidRDefault="00886251" w:rsidP="000000E7"/>
        </w:tc>
      </w:tr>
      <w:tr w:rsidR="00886251" w:rsidRPr="00420BE9" w:rsidTr="00420BE9">
        <w:trPr>
          <w:trHeight w:val="532"/>
        </w:trPr>
        <w:tc>
          <w:tcPr>
            <w:tcW w:w="1841" w:type="dxa"/>
          </w:tcPr>
          <w:p w:rsidR="00886251" w:rsidRPr="00420BE9" w:rsidRDefault="001B0C8B" w:rsidP="000000E7">
            <w:r w:rsidRPr="00420BE9">
              <w:t>Slanje računa računovodstvu zaprimljenih u papirnatom obliku i pretvorenih e-računa u papirnati oblik</w:t>
            </w:r>
          </w:p>
        </w:tc>
        <w:tc>
          <w:tcPr>
            <w:tcW w:w="2154" w:type="dxa"/>
          </w:tcPr>
          <w:p w:rsidR="00886251" w:rsidRPr="00420BE9" w:rsidRDefault="001B0C8B" w:rsidP="000000E7">
            <w:r w:rsidRPr="00420BE9">
              <w:t>Slanje ulaznih računa u računovodstvo</w:t>
            </w:r>
          </w:p>
        </w:tc>
        <w:tc>
          <w:tcPr>
            <w:tcW w:w="2293" w:type="dxa"/>
            <w:gridSpan w:val="2"/>
          </w:tcPr>
          <w:p w:rsidR="00886251" w:rsidRPr="00420BE9" w:rsidRDefault="001B0C8B" w:rsidP="000000E7">
            <w:r w:rsidRPr="00420BE9">
              <w:t>tajnik</w:t>
            </w:r>
          </w:p>
        </w:tc>
        <w:tc>
          <w:tcPr>
            <w:tcW w:w="1769" w:type="dxa"/>
          </w:tcPr>
          <w:p w:rsidR="00886251" w:rsidRPr="00420BE9" w:rsidRDefault="001B0C8B" w:rsidP="000000E7">
            <w:r w:rsidRPr="00420BE9">
              <w:t>Istoga dana, a najkasnije sljedećeg radnog dana od zaprimanja računa</w:t>
            </w:r>
          </w:p>
        </w:tc>
        <w:tc>
          <w:tcPr>
            <w:tcW w:w="1036" w:type="dxa"/>
          </w:tcPr>
          <w:p w:rsidR="00886251" w:rsidRPr="00420BE9" w:rsidRDefault="00886251" w:rsidP="000000E7"/>
        </w:tc>
      </w:tr>
      <w:tr w:rsidR="00886251" w:rsidRPr="00420BE9" w:rsidTr="00420BE9">
        <w:trPr>
          <w:trHeight w:val="264"/>
        </w:trPr>
        <w:tc>
          <w:tcPr>
            <w:tcW w:w="1841" w:type="dxa"/>
          </w:tcPr>
          <w:p w:rsidR="00886251" w:rsidRPr="00420BE9" w:rsidRDefault="001B0C8B" w:rsidP="000000E7">
            <w:r w:rsidRPr="00420BE9">
              <w:t>Primanje ulaznih računa u papirnatom obliku</w:t>
            </w:r>
            <w:r w:rsidR="00886251" w:rsidRPr="00420BE9">
              <w:t xml:space="preserve"> </w:t>
            </w:r>
          </w:p>
        </w:tc>
        <w:tc>
          <w:tcPr>
            <w:tcW w:w="2154" w:type="dxa"/>
          </w:tcPr>
          <w:p w:rsidR="00886251" w:rsidRPr="00420BE9" w:rsidRDefault="001B0C8B" w:rsidP="000000E7">
            <w:r w:rsidRPr="00420BE9">
              <w:t>Provođenje formalne i računske kontrole</w:t>
            </w:r>
          </w:p>
        </w:tc>
        <w:tc>
          <w:tcPr>
            <w:tcW w:w="2293" w:type="dxa"/>
            <w:gridSpan w:val="2"/>
          </w:tcPr>
          <w:p w:rsidR="00886251" w:rsidRPr="00420BE9" w:rsidRDefault="00886251" w:rsidP="000000E7">
            <w:r w:rsidRPr="00420BE9">
              <w:t>Računovođa</w:t>
            </w:r>
          </w:p>
        </w:tc>
        <w:tc>
          <w:tcPr>
            <w:tcW w:w="1769" w:type="dxa"/>
          </w:tcPr>
          <w:p w:rsidR="00886251" w:rsidRPr="00420BE9" w:rsidRDefault="001B0C8B" w:rsidP="000000E7">
            <w:r w:rsidRPr="00420BE9">
              <w:t>Najviše 2 radna dana od primanja</w:t>
            </w:r>
          </w:p>
        </w:tc>
        <w:tc>
          <w:tcPr>
            <w:tcW w:w="1036" w:type="dxa"/>
          </w:tcPr>
          <w:p w:rsidR="00886251" w:rsidRPr="00420BE9" w:rsidRDefault="00886251" w:rsidP="000000E7"/>
        </w:tc>
      </w:tr>
      <w:tr w:rsidR="00764902" w:rsidRPr="00420BE9" w:rsidTr="00420BE9">
        <w:trPr>
          <w:trHeight w:val="267"/>
        </w:trPr>
        <w:tc>
          <w:tcPr>
            <w:tcW w:w="1841" w:type="dxa"/>
          </w:tcPr>
          <w:p w:rsidR="00764902" w:rsidRPr="00420BE9" w:rsidRDefault="00764902" w:rsidP="00764902">
            <w:r w:rsidRPr="00420BE9">
              <w:t xml:space="preserve">Obavijest tajniku da e-račun nije prošao formalnu </w:t>
            </w:r>
            <w:r w:rsidRPr="00420BE9">
              <w:lastRenderedPageBreak/>
              <w:t xml:space="preserve">i/ili računsku kontrolu </w:t>
            </w:r>
          </w:p>
        </w:tc>
        <w:tc>
          <w:tcPr>
            <w:tcW w:w="2154" w:type="dxa"/>
          </w:tcPr>
          <w:p w:rsidR="00764902" w:rsidRPr="00420BE9" w:rsidRDefault="00764902" w:rsidP="00764902">
            <w:r w:rsidRPr="00420BE9">
              <w:lastRenderedPageBreak/>
              <w:t>Zahtjev za odbijanjem računa</w:t>
            </w:r>
          </w:p>
        </w:tc>
        <w:tc>
          <w:tcPr>
            <w:tcW w:w="2293" w:type="dxa"/>
            <w:gridSpan w:val="2"/>
          </w:tcPr>
          <w:p w:rsidR="00764902" w:rsidRPr="00420BE9" w:rsidRDefault="00764902" w:rsidP="00764902">
            <w:r w:rsidRPr="00420BE9">
              <w:t>Računovođa</w:t>
            </w:r>
          </w:p>
        </w:tc>
        <w:tc>
          <w:tcPr>
            <w:tcW w:w="1769" w:type="dxa"/>
          </w:tcPr>
          <w:p w:rsidR="00764902" w:rsidRPr="00420BE9" w:rsidRDefault="00764902" w:rsidP="00764902">
            <w:r w:rsidRPr="00420BE9">
              <w:t>Najviše 2 radna dana od primanja računa</w:t>
            </w:r>
          </w:p>
        </w:tc>
        <w:tc>
          <w:tcPr>
            <w:tcW w:w="1036" w:type="dxa"/>
          </w:tcPr>
          <w:p w:rsidR="00764902" w:rsidRPr="00420BE9" w:rsidRDefault="00764902" w:rsidP="00764902"/>
        </w:tc>
      </w:tr>
      <w:tr w:rsidR="00764902" w:rsidRPr="00420BE9" w:rsidTr="00420BE9">
        <w:trPr>
          <w:trHeight w:val="35"/>
        </w:trPr>
        <w:tc>
          <w:tcPr>
            <w:tcW w:w="1841" w:type="dxa"/>
          </w:tcPr>
          <w:p w:rsidR="00764902" w:rsidRPr="00420BE9" w:rsidRDefault="00764902" w:rsidP="00764902">
            <w:r w:rsidRPr="00420BE9">
              <w:t>Odbijanje e-računa</w:t>
            </w:r>
          </w:p>
        </w:tc>
        <w:tc>
          <w:tcPr>
            <w:tcW w:w="2154" w:type="dxa"/>
          </w:tcPr>
          <w:p w:rsidR="00764902" w:rsidRPr="00420BE9" w:rsidRDefault="00764902" w:rsidP="00764902">
            <w:r w:rsidRPr="00420BE9">
              <w:t>Račun koji je zaprimljen u elektroničkom obliku ukoliko ne sadrži sve potrebne elemente ili računski neispravan</w:t>
            </w:r>
          </w:p>
        </w:tc>
        <w:tc>
          <w:tcPr>
            <w:tcW w:w="2257" w:type="dxa"/>
          </w:tcPr>
          <w:p w:rsidR="00764902" w:rsidRPr="00420BE9" w:rsidRDefault="00764902" w:rsidP="00764902">
            <w:r w:rsidRPr="00420BE9">
              <w:t>tajnik</w:t>
            </w:r>
          </w:p>
        </w:tc>
        <w:tc>
          <w:tcPr>
            <w:tcW w:w="1805" w:type="dxa"/>
            <w:gridSpan w:val="2"/>
          </w:tcPr>
          <w:p w:rsidR="00764902" w:rsidRPr="00420BE9" w:rsidRDefault="00764902" w:rsidP="00764902">
            <w:r w:rsidRPr="00420BE9">
              <w:t>Istoga dana</w:t>
            </w:r>
          </w:p>
        </w:tc>
        <w:tc>
          <w:tcPr>
            <w:tcW w:w="1036" w:type="dxa"/>
          </w:tcPr>
          <w:p w:rsidR="00764902" w:rsidRPr="00420BE9" w:rsidRDefault="00764902" w:rsidP="00764902"/>
        </w:tc>
      </w:tr>
      <w:tr w:rsidR="00764902" w:rsidRPr="00420BE9" w:rsidTr="00420BE9">
        <w:trPr>
          <w:trHeight w:val="35"/>
        </w:trPr>
        <w:tc>
          <w:tcPr>
            <w:tcW w:w="1841" w:type="dxa"/>
          </w:tcPr>
          <w:p w:rsidR="00420BE9" w:rsidRPr="00420BE9" w:rsidRDefault="00420BE9" w:rsidP="00420BE9">
            <w:pPr>
              <w:jc w:val="center"/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 xml:space="preserve">Odobrenje računa za materijal i usluge održavanja i popravaka, </w:t>
            </w:r>
          </w:p>
          <w:p w:rsidR="00764902" w:rsidRPr="00420BE9" w:rsidRDefault="00420BE9" w:rsidP="00420BE9">
            <w:r w:rsidRPr="00420BE9">
              <w:rPr>
                <w:rFonts w:ascii="Times New Roman" w:hAnsi="Times New Roman" w:cs="Times New Roman"/>
              </w:rPr>
              <w:t>za plaćanje i evidentiranje</w:t>
            </w:r>
          </w:p>
        </w:tc>
        <w:tc>
          <w:tcPr>
            <w:tcW w:w="2154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Upisuje se račun datum odobrenja i paraf</w:t>
            </w:r>
          </w:p>
        </w:tc>
        <w:tc>
          <w:tcPr>
            <w:tcW w:w="2257" w:type="dxa"/>
          </w:tcPr>
          <w:p w:rsidR="00764902" w:rsidRPr="00420BE9" w:rsidRDefault="00420BE9" w:rsidP="00420BE9">
            <w:r w:rsidRPr="00420BE9">
              <w:rPr>
                <w:rFonts w:ascii="Times New Roman" w:hAnsi="Times New Roman" w:cs="Times New Roman"/>
              </w:rPr>
              <w:t xml:space="preserve">ravnatelj </w:t>
            </w:r>
          </w:p>
        </w:tc>
        <w:tc>
          <w:tcPr>
            <w:tcW w:w="1805" w:type="dxa"/>
            <w:gridSpan w:val="2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Najviše dva dana nakon provedene računovodstvene kontrole</w:t>
            </w:r>
          </w:p>
        </w:tc>
        <w:tc>
          <w:tcPr>
            <w:tcW w:w="1036" w:type="dxa"/>
          </w:tcPr>
          <w:p w:rsidR="00764902" w:rsidRPr="00420BE9" w:rsidRDefault="00764902" w:rsidP="00764902"/>
        </w:tc>
      </w:tr>
      <w:tr w:rsidR="00764902" w:rsidRPr="00420BE9" w:rsidTr="00420BE9">
        <w:trPr>
          <w:trHeight w:val="35"/>
        </w:trPr>
        <w:tc>
          <w:tcPr>
            <w:tcW w:w="1841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Odobrenje računa za plaćanje i evidentiranje</w:t>
            </w:r>
          </w:p>
        </w:tc>
        <w:tc>
          <w:tcPr>
            <w:tcW w:w="2154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Upisuje se na račun datum odobrenja i paraf</w:t>
            </w:r>
          </w:p>
        </w:tc>
        <w:tc>
          <w:tcPr>
            <w:tcW w:w="2257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805" w:type="dxa"/>
            <w:gridSpan w:val="2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Najviše dva dana nakon provedene računovodstvene kontrole</w:t>
            </w:r>
          </w:p>
        </w:tc>
        <w:tc>
          <w:tcPr>
            <w:tcW w:w="1036" w:type="dxa"/>
          </w:tcPr>
          <w:p w:rsidR="00764902" w:rsidRPr="00420BE9" w:rsidRDefault="00764902" w:rsidP="00764902"/>
        </w:tc>
      </w:tr>
      <w:tr w:rsidR="00764902" w:rsidRPr="00420BE9" w:rsidTr="00420BE9">
        <w:trPr>
          <w:trHeight w:val="35"/>
        </w:trPr>
        <w:tc>
          <w:tcPr>
            <w:tcW w:w="1841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Obrada</w:t>
            </w:r>
          </w:p>
        </w:tc>
        <w:tc>
          <w:tcPr>
            <w:tcW w:w="2154" w:type="dxa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Upisi u knjigu ulaznih računa, dodjela brojeva</w:t>
            </w:r>
          </w:p>
        </w:tc>
        <w:tc>
          <w:tcPr>
            <w:tcW w:w="2257" w:type="dxa"/>
          </w:tcPr>
          <w:p w:rsidR="00764902" w:rsidRPr="00420BE9" w:rsidRDefault="00926F4E" w:rsidP="00764902">
            <w:r w:rsidRPr="00420BE9">
              <w:t>računovođa</w:t>
            </w:r>
          </w:p>
        </w:tc>
        <w:tc>
          <w:tcPr>
            <w:tcW w:w="1805" w:type="dxa"/>
            <w:gridSpan w:val="2"/>
          </w:tcPr>
          <w:p w:rsidR="00764902" w:rsidRPr="00420BE9" w:rsidRDefault="00420BE9" w:rsidP="00764902">
            <w:r w:rsidRPr="00420BE9">
              <w:rPr>
                <w:rFonts w:ascii="Times New Roman" w:hAnsi="Times New Roman" w:cs="Times New Roman"/>
              </w:rPr>
              <w:t>1 dan po odobrenju plaćanja i</w:t>
            </w:r>
            <w:r w:rsidRPr="00420BE9">
              <w:rPr>
                <w:rFonts w:ascii="Times New Roman" w:hAnsi="Times New Roman" w:cs="Times New Roman"/>
              </w:rPr>
              <w:t xml:space="preserve"> </w:t>
            </w:r>
            <w:r w:rsidRPr="00420BE9">
              <w:rPr>
                <w:rFonts w:ascii="Times New Roman" w:hAnsi="Times New Roman" w:cs="Times New Roman"/>
              </w:rPr>
              <w:t>evidentiranje</w:t>
            </w:r>
          </w:p>
        </w:tc>
        <w:tc>
          <w:tcPr>
            <w:tcW w:w="1036" w:type="dxa"/>
          </w:tcPr>
          <w:p w:rsidR="00764902" w:rsidRPr="00420BE9" w:rsidRDefault="00764902" w:rsidP="00764902"/>
        </w:tc>
      </w:tr>
      <w:tr w:rsidR="00420BE9" w:rsidRPr="00420BE9" w:rsidTr="00420BE9">
        <w:trPr>
          <w:trHeight w:val="70"/>
        </w:trPr>
        <w:tc>
          <w:tcPr>
            <w:tcW w:w="1841" w:type="dxa"/>
          </w:tcPr>
          <w:p w:rsidR="00420BE9" w:rsidRPr="00420BE9" w:rsidRDefault="00420BE9" w:rsidP="00420BE9">
            <w:r w:rsidRPr="00420BE9">
              <w:rPr>
                <w:rFonts w:ascii="Times New Roman" w:hAnsi="Times New Roman" w:cs="Times New Roman"/>
              </w:rPr>
              <w:t>Plaćanje računa prema dospijeću</w:t>
            </w:r>
          </w:p>
        </w:tc>
        <w:tc>
          <w:tcPr>
            <w:tcW w:w="2154" w:type="dxa"/>
          </w:tcPr>
          <w:p w:rsidR="00420BE9" w:rsidRPr="00420BE9" w:rsidRDefault="00420BE9" w:rsidP="00420BE9">
            <w:r w:rsidRPr="00420BE9">
              <w:rPr>
                <w:rFonts w:ascii="Times New Roman" w:hAnsi="Times New Roman" w:cs="Times New Roman"/>
              </w:rPr>
              <w:t>Priprema naloga za plaćanje</w:t>
            </w:r>
          </w:p>
        </w:tc>
        <w:tc>
          <w:tcPr>
            <w:tcW w:w="2257" w:type="dxa"/>
          </w:tcPr>
          <w:p w:rsidR="00420BE9" w:rsidRPr="00420BE9" w:rsidRDefault="00420BE9" w:rsidP="00420BE9">
            <w:r w:rsidRPr="00420BE9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1805" w:type="dxa"/>
            <w:gridSpan w:val="2"/>
          </w:tcPr>
          <w:p w:rsidR="00420BE9" w:rsidRPr="00420BE9" w:rsidRDefault="00420BE9" w:rsidP="00420BE9">
            <w:pPr>
              <w:jc w:val="center"/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>Prema dospijeću</w:t>
            </w:r>
          </w:p>
        </w:tc>
        <w:tc>
          <w:tcPr>
            <w:tcW w:w="1036" w:type="dxa"/>
          </w:tcPr>
          <w:p w:rsidR="00420BE9" w:rsidRPr="00420BE9" w:rsidRDefault="00420BE9" w:rsidP="00420BE9"/>
        </w:tc>
      </w:tr>
      <w:tr w:rsidR="00420BE9" w:rsidRPr="00420BE9" w:rsidTr="00420BE9">
        <w:trPr>
          <w:trHeight w:val="70"/>
        </w:trPr>
        <w:tc>
          <w:tcPr>
            <w:tcW w:w="1841" w:type="dxa"/>
          </w:tcPr>
          <w:p w:rsidR="00420BE9" w:rsidRPr="00420BE9" w:rsidRDefault="00420BE9" w:rsidP="00420BE9">
            <w:pPr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>Plaćanje računa prema dospijeću</w:t>
            </w:r>
          </w:p>
        </w:tc>
        <w:tc>
          <w:tcPr>
            <w:tcW w:w="2154" w:type="dxa"/>
          </w:tcPr>
          <w:p w:rsidR="00420BE9" w:rsidRPr="00420BE9" w:rsidRDefault="00420BE9" w:rsidP="00420BE9">
            <w:pPr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>Odobrenje naloga za plaćanje – potpis ovlaštene/ih osoba</w:t>
            </w:r>
          </w:p>
        </w:tc>
        <w:tc>
          <w:tcPr>
            <w:tcW w:w="2257" w:type="dxa"/>
          </w:tcPr>
          <w:p w:rsidR="00420BE9" w:rsidRPr="00420BE9" w:rsidRDefault="00420BE9" w:rsidP="00420BE9">
            <w:pPr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>ravnatelj/ravnateljica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05" w:type="dxa"/>
            <w:gridSpan w:val="2"/>
          </w:tcPr>
          <w:p w:rsidR="00420BE9" w:rsidRPr="00420BE9" w:rsidRDefault="00420BE9" w:rsidP="00420BE9">
            <w:pPr>
              <w:jc w:val="center"/>
              <w:rPr>
                <w:rFonts w:ascii="Times New Roman" w:hAnsi="Times New Roman" w:cs="Times New Roman"/>
              </w:rPr>
            </w:pPr>
            <w:r w:rsidRPr="00420BE9">
              <w:rPr>
                <w:rFonts w:ascii="Times New Roman" w:hAnsi="Times New Roman" w:cs="Times New Roman"/>
              </w:rPr>
              <w:t>Prema dospijeću</w:t>
            </w:r>
          </w:p>
        </w:tc>
        <w:tc>
          <w:tcPr>
            <w:tcW w:w="1036" w:type="dxa"/>
          </w:tcPr>
          <w:p w:rsidR="00420BE9" w:rsidRPr="00420BE9" w:rsidRDefault="00420BE9" w:rsidP="00420BE9"/>
        </w:tc>
      </w:tr>
    </w:tbl>
    <w:p w:rsidR="005E60A7" w:rsidRPr="00420BE9" w:rsidRDefault="005E60A7" w:rsidP="000000E7"/>
    <w:p w:rsidR="00764902" w:rsidRPr="00420BE9" w:rsidRDefault="00764902" w:rsidP="000000E7"/>
    <w:p w:rsidR="006739DA" w:rsidRPr="00420BE9" w:rsidRDefault="00420BE9" w:rsidP="000000E7">
      <w:r>
        <w:t>Ova procedura ob</w:t>
      </w:r>
      <w:bookmarkStart w:id="0" w:name="_GoBack"/>
      <w:bookmarkEnd w:id="0"/>
      <w:r w:rsidR="006739DA" w:rsidRPr="00420BE9">
        <w:t>javit će se na oglasnoj ploči i web stranici Škole, a stupa na snagu danom donošenja.</w:t>
      </w:r>
    </w:p>
    <w:p w:rsidR="006739DA" w:rsidRPr="00420BE9" w:rsidRDefault="006739DA" w:rsidP="000000E7"/>
    <w:p w:rsidR="006739DA" w:rsidRPr="00420BE9" w:rsidRDefault="006739DA" w:rsidP="006739DA">
      <w:pPr>
        <w:jc w:val="right"/>
      </w:pPr>
      <w:r w:rsidRPr="00420BE9">
        <w:t>Ravnateljica</w:t>
      </w:r>
    </w:p>
    <w:p w:rsidR="00764902" w:rsidRPr="00420BE9" w:rsidRDefault="006739DA" w:rsidP="006739DA">
      <w:pPr>
        <w:jc w:val="right"/>
      </w:pPr>
      <w:r w:rsidRPr="00420BE9">
        <w:t xml:space="preserve">Draženka </w:t>
      </w:r>
      <w:proofErr w:type="spellStart"/>
      <w:r w:rsidRPr="00420BE9">
        <w:t>Šebek</w:t>
      </w:r>
      <w:proofErr w:type="spellEnd"/>
      <w:r w:rsidRPr="00420BE9">
        <w:t xml:space="preserve">, prof. </w:t>
      </w:r>
    </w:p>
    <w:sectPr w:rsidR="00764902" w:rsidRPr="00420BE9" w:rsidSect="000F0BD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00E7"/>
    <w:rsid w:val="0000328A"/>
    <w:rsid w:val="00013093"/>
    <w:rsid w:val="0005467F"/>
    <w:rsid w:val="0009307A"/>
    <w:rsid w:val="000A642E"/>
    <w:rsid w:val="000C03CA"/>
    <w:rsid w:val="000C1BD6"/>
    <w:rsid w:val="000D7CF1"/>
    <w:rsid w:val="000F0BDD"/>
    <w:rsid w:val="000F4BE3"/>
    <w:rsid w:val="00100E85"/>
    <w:rsid w:val="00121489"/>
    <w:rsid w:val="001745B8"/>
    <w:rsid w:val="00186DFD"/>
    <w:rsid w:val="00195127"/>
    <w:rsid w:val="001B0C8B"/>
    <w:rsid w:val="001E08F7"/>
    <w:rsid w:val="00233057"/>
    <w:rsid w:val="0025386B"/>
    <w:rsid w:val="002572F2"/>
    <w:rsid w:val="00262DEE"/>
    <w:rsid w:val="0027268D"/>
    <w:rsid w:val="00272FBB"/>
    <w:rsid w:val="00277C05"/>
    <w:rsid w:val="002C385F"/>
    <w:rsid w:val="00315FA8"/>
    <w:rsid w:val="00382E30"/>
    <w:rsid w:val="003C2B8D"/>
    <w:rsid w:val="003D5B8E"/>
    <w:rsid w:val="003D5E8D"/>
    <w:rsid w:val="00420BE9"/>
    <w:rsid w:val="004806B4"/>
    <w:rsid w:val="00481039"/>
    <w:rsid w:val="004D27A4"/>
    <w:rsid w:val="004E0C08"/>
    <w:rsid w:val="004F1230"/>
    <w:rsid w:val="004F62A9"/>
    <w:rsid w:val="005230CF"/>
    <w:rsid w:val="005A2761"/>
    <w:rsid w:val="005A6737"/>
    <w:rsid w:val="005E46CF"/>
    <w:rsid w:val="005E60A7"/>
    <w:rsid w:val="00623650"/>
    <w:rsid w:val="006333F0"/>
    <w:rsid w:val="00637EFB"/>
    <w:rsid w:val="006739DA"/>
    <w:rsid w:val="006971BA"/>
    <w:rsid w:val="006A144C"/>
    <w:rsid w:val="00735D9F"/>
    <w:rsid w:val="00747C73"/>
    <w:rsid w:val="00764902"/>
    <w:rsid w:val="007727C3"/>
    <w:rsid w:val="007A097C"/>
    <w:rsid w:val="007A5EEA"/>
    <w:rsid w:val="007B3AAD"/>
    <w:rsid w:val="007E3509"/>
    <w:rsid w:val="007F29AB"/>
    <w:rsid w:val="008412B9"/>
    <w:rsid w:val="0084380E"/>
    <w:rsid w:val="0086687A"/>
    <w:rsid w:val="00886251"/>
    <w:rsid w:val="00897A7C"/>
    <w:rsid w:val="008A1036"/>
    <w:rsid w:val="00907EDB"/>
    <w:rsid w:val="00926F4E"/>
    <w:rsid w:val="0097546E"/>
    <w:rsid w:val="00995669"/>
    <w:rsid w:val="009A124E"/>
    <w:rsid w:val="009B1EB3"/>
    <w:rsid w:val="00A4128A"/>
    <w:rsid w:val="00A50380"/>
    <w:rsid w:val="00AA1795"/>
    <w:rsid w:val="00AA2F07"/>
    <w:rsid w:val="00AF1489"/>
    <w:rsid w:val="00B12180"/>
    <w:rsid w:val="00B32AE8"/>
    <w:rsid w:val="00B60A5C"/>
    <w:rsid w:val="00B90E50"/>
    <w:rsid w:val="00BA409A"/>
    <w:rsid w:val="00BC45A7"/>
    <w:rsid w:val="00BC4EE4"/>
    <w:rsid w:val="00BD4D84"/>
    <w:rsid w:val="00C8236F"/>
    <w:rsid w:val="00C85552"/>
    <w:rsid w:val="00C968FF"/>
    <w:rsid w:val="00CA3E9A"/>
    <w:rsid w:val="00CA5602"/>
    <w:rsid w:val="00D114DC"/>
    <w:rsid w:val="00D24BE5"/>
    <w:rsid w:val="00D442F4"/>
    <w:rsid w:val="00D45243"/>
    <w:rsid w:val="00D80E44"/>
    <w:rsid w:val="00DF598A"/>
    <w:rsid w:val="00E03F71"/>
    <w:rsid w:val="00E317E5"/>
    <w:rsid w:val="00EA6936"/>
    <w:rsid w:val="00EC2496"/>
    <w:rsid w:val="00EF75B1"/>
    <w:rsid w:val="00F02880"/>
    <w:rsid w:val="00F07DFE"/>
    <w:rsid w:val="00F27CCB"/>
    <w:rsid w:val="00F34521"/>
    <w:rsid w:val="00F65964"/>
    <w:rsid w:val="00FE1CB3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B357-58A7-414E-B20E-C22B094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TableGrid">
    <w:name w:val="Table Grid"/>
    <w:basedOn w:val="TableNormal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F2A55</cp:lastModifiedBy>
  <cp:revision>5</cp:revision>
  <cp:lastPrinted>2016-04-15T09:37:00Z</cp:lastPrinted>
  <dcterms:created xsi:type="dcterms:W3CDTF">2019-11-05T11:48:00Z</dcterms:created>
  <dcterms:modified xsi:type="dcterms:W3CDTF">2019-11-08T10:26:00Z</dcterms:modified>
</cp:coreProperties>
</file>